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tabs>
          <w:tab w:leader="none" w:pos="9781" w:val="left"/>
        </w:tabs>
        <w:ind w:firstLine="0" w:left="9638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5</w:t>
      </w:r>
    </w:p>
    <w:p w14:paraId="02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Порядку предоставления с</w:t>
      </w:r>
      <w:r>
        <w:rPr>
          <w:rFonts w:ascii="Times New Roman" w:hAnsi="Times New Roman"/>
          <w:sz w:val="28"/>
        </w:rPr>
        <w:t>оциальной</w:t>
      </w:r>
    </w:p>
    <w:p w14:paraId="03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выплаты на приобретение жилого</w:t>
      </w:r>
    </w:p>
    <w:p w14:paraId="04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помещения гражданам, жилые</w:t>
      </w:r>
    </w:p>
    <w:p w14:paraId="05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помещения которых утрачены в</w:t>
      </w:r>
    </w:p>
    <w:p w14:paraId="06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результате </w:t>
      </w:r>
      <w:r>
        <w:rPr>
          <w:rFonts w:ascii="Times New Roman" w:hAnsi="Times New Roman"/>
          <w:sz w:val="28"/>
        </w:rPr>
        <w:t>чрезвычайной ситуации</w:t>
      </w:r>
    </w:p>
    <w:p w14:paraId="07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характера,</w:t>
      </w:r>
    </w:p>
    <w:p w14:paraId="08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произошедшей на территории</w:t>
      </w:r>
    </w:p>
    <w:p w14:paraId="09000000">
      <w:pPr>
        <w:widowControl w:val="0"/>
        <w:spacing w:after="0" w:line="240" w:lineRule="auto"/>
        <w:ind w:firstLine="4251" w:left="5387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Шепсинского сельского поселения</w:t>
      </w:r>
    </w:p>
    <w:p w14:paraId="0A000000">
      <w:pPr>
        <w:pStyle w:val="Style_1"/>
        <w:ind w:firstLine="0" w:left="963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>Туапсинского района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20 февраля 2023 г</w:t>
      </w:r>
      <w:r>
        <w:rPr>
          <w:rFonts w:ascii="Times New Roman" w:hAnsi="Times New Roman"/>
          <w:b w:val="0"/>
          <w:sz w:val="28"/>
        </w:rPr>
        <w:t>.</w:t>
      </w:r>
    </w:p>
    <w:p w14:paraId="0B000000">
      <w:pPr>
        <w:pStyle w:val="Style_1"/>
        <w:ind w:firstLine="0" w:left="9638"/>
        <w:jc w:val="both"/>
        <w:rPr>
          <w:rFonts w:ascii="Times New Roman" w:hAnsi="Times New Roman"/>
          <w:sz w:val="28"/>
        </w:rPr>
      </w:pPr>
    </w:p>
    <w:tbl>
      <w:tblPr>
        <w:tblStyle w:val="Style_2"/>
        <w:tblLayout w:type="fixed"/>
      </w:tblPr>
      <w:tblGrid>
        <w:gridCol w:w="14786"/>
      </w:tblGrid>
      <w:tr>
        <w:tc>
          <w:tcPr>
            <w:tcW w:type="dxa" w:w="14786"/>
          </w:tcPr>
          <w:p w14:paraId="0C000000">
            <w:pPr>
              <w:pStyle w:val="Style_1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РЕЕСТР</w:t>
            </w:r>
          </w:p>
          <w:p w14:paraId="0D000000">
            <w:pPr>
              <w:pStyle w:val="Style_1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 xml:space="preserve">предоставленных социальных выплат гражданам, жилые помещения которых утрачены в результате чрезвычайной ситуации муниципального характера, произошедшей на территории </w:t>
            </w:r>
          </w:p>
          <w:p w14:paraId="0E000000">
            <w:pPr>
              <w:pStyle w:val="Style_1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pacing w:val="-1"/>
                <w:sz w:val="28"/>
              </w:rPr>
              <w:t xml:space="preserve">Шепсинского сельского поселения </w:t>
            </w:r>
            <w:r>
              <w:rPr>
                <w:rFonts w:ascii="Times New Roman" w:hAnsi="Times New Roman"/>
                <w:b w:val="1"/>
                <w:spacing w:val="-1"/>
                <w:sz w:val="28"/>
              </w:rPr>
              <w:t xml:space="preserve">Туапсинского района </w:t>
            </w:r>
            <w:r>
              <w:rPr>
                <w:rFonts w:ascii="Times New Roman" w:hAnsi="Times New Roman"/>
                <w:b w:val="1"/>
                <w:sz w:val="28"/>
              </w:rPr>
              <w:t>20 февраля 2023 г.</w:t>
            </w:r>
            <w:r>
              <w:rPr>
                <w:rFonts w:ascii="Times New Roman" w:hAnsi="Times New Roman"/>
                <w:b w:val="1"/>
                <w:sz w:val="28"/>
              </w:rPr>
              <w:t xml:space="preserve"> </w:t>
            </w:r>
            <w:r>
              <w:rPr>
                <w:rFonts w:ascii="Times New Roman" w:hAnsi="Times New Roman"/>
                <w:b w:val="1"/>
                <w:sz w:val="28"/>
              </w:rPr>
              <w:t>,</w:t>
            </w:r>
            <w:r>
              <w:rPr>
                <w:rFonts w:ascii="Times New Roman" w:hAnsi="Times New Roman"/>
                <w:b w:val="1"/>
                <w:sz w:val="28"/>
              </w:rPr>
              <w:t xml:space="preserve"> имеющих право </w:t>
            </w:r>
          </w:p>
          <w:p w14:paraId="0F000000">
            <w:pPr>
              <w:pStyle w:val="Style_1"/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sz w:val="28"/>
              </w:rPr>
              <w:t>на получение социальной выплаты на приобретение жилого помещения</w:t>
            </w:r>
          </w:p>
          <w:tbl>
            <w:tblPr>
              <w:tblStyle w:val="Style_2"/>
              <w:tblLayout w:type="fixed"/>
            </w:tblPr>
            <w:tblGrid>
              <w:gridCol w:w="2338"/>
              <w:gridCol w:w="2427"/>
              <w:gridCol w:w="2459"/>
              <w:gridCol w:w="2459"/>
              <w:gridCol w:w="2427"/>
              <w:gridCol w:w="2450"/>
            </w:tblGrid>
            <w:tr>
              <w:tc>
                <w:tcPr>
                  <w:tcW w:type="dxa" w:w="2338"/>
                  <w:vMerge w:val="restart"/>
                </w:tcPr>
                <w:p w14:paraId="10000000">
                  <w:pPr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</w:rPr>
                    <w:t>№  п</w:t>
                  </w:r>
                  <w:r>
                    <w:rPr>
                      <w:rFonts w:ascii="Times New Roman" w:hAnsi="Times New Roman"/>
                      <w:sz w:val="24"/>
                    </w:rPr>
                    <w:t>/п</w:t>
                  </w:r>
                </w:p>
              </w:tc>
              <w:tc>
                <w:tcPr>
                  <w:tcW w:type="dxa" w:w="2427"/>
                  <w:vMerge w:val="restart"/>
                </w:tcPr>
                <w:p w14:paraId="11000000">
                  <w:pPr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ФИО гражданина получателя социальной выплаты и членов его семьи</w:t>
                  </w:r>
                </w:p>
              </w:tc>
              <w:tc>
                <w:tcPr>
                  <w:tcW w:type="dxa" w:w="7345"/>
                  <w:gridSpan w:val="3"/>
                </w:tcPr>
                <w:p w14:paraId="12000000">
                  <w:pPr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Постановление о предоставлении социальной выплаты</w:t>
                  </w:r>
                </w:p>
              </w:tc>
              <w:tc>
                <w:tcPr>
                  <w:tcW w:type="dxa" w:w="2450"/>
                  <w:vMerge w:val="restart"/>
                </w:tcPr>
                <w:p w14:paraId="13000000">
                  <w:pPr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Номер, дата и су</w:t>
                  </w:r>
                  <w:r>
                    <w:rPr>
                      <w:rFonts w:ascii="Times New Roman" w:hAnsi="Times New Roman"/>
                      <w:sz w:val="24"/>
                    </w:rPr>
                    <w:t>мма платежного поручения о перечислении социальной выплаты</w:t>
                  </w:r>
                </w:p>
              </w:tc>
            </w:tr>
            <w:tr>
              <w:tc>
                <w:tcPr>
                  <w:tcW w:type="dxa" w:w="2338"/>
                  <w:gridSpan w:val="1"/>
                  <w:vMerge w:val="continue"/>
                </w:tcPr>
                <w:p/>
              </w:tc>
              <w:tc>
                <w:tcPr>
                  <w:tcW w:type="dxa" w:w="2427"/>
                  <w:gridSpan w:val="1"/>
                  <w:vMerge w:val="continue"/>
                </w:tcPr>
                <w:p/>
              </w:tc>
              <w:tc>
                <w:tcPr>
                  <w:tcW w:type="dxa" w:w="2459"/>
                </w:tcPr>
                <w:p w14:paraId="14000000">
                  <w:pPr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№ постановления</w:t>
                  </w:r>
                </w:p>
              </w:tc>
              <w:tc>
                <w:tcPr>
                  <w:tcW w:type="dxa" w:w="2459"/>
                </w:tcPr>
                <w:p w14:paraId="15000000">
                  <w:pPr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д</w:t>
                  </w:r>
                  <w:r>
                    <w:rPr>
                      <w:rFonts w:ascii="Times New Roman" w:hAnsi="Times New Roman"/>
                      <w:sz w:val="24"/>
                    </w:rPr>
                    <w:t>ата постановления</w:t>
                  </w:r>
                </w:p>
              </w:tc>
              <w:tc>
                <w:tcPr>
                  <w:tcW w:type="dxa" w:w="2427"/>
                </w:tcPr>
                <w:p w14:paraId="16000000">
                  <w:pPr>
                    <w:ind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</w:rPr>
                    <w:t>р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азмер </w:t>
                  </w:r>
                  <w:r>
                    <w:rPr>
                      <w:rFonts w:ascii="Times New Roman" w:hAnsi="Times New Roman"/>
                      <w:sz w:val="24"/>
                    </w:rPr>
                    <w:t>социальной  выплаты</w:t>
                  </w:r>
                  <w:r>
                    <w:rPr>
                      <w:rFonts w:ascii="Times New Roman" w:hAnsi="Times New Roman"/>
                      <w:sz w:val="24"/>
                    </w:rPr>
                    <w:t xml:space="preserve"> (руб.)</w:t>
                  </w:r>
                </w:p>
              </w:tc>
              <w:tc>
                <w:tcPr>
                  <w:tcW w:type="dxa" w:w="2450"/>
                  <w:gridSpan w:val="1"/>
                  <w:vMerge w:val="continue"/>
                </w:tcPr>
                <w:p/>
              </w:tc>
            </w:tr>
            <w:tr>
              <w:tc>
                <w:tcPr>
                  <w:tcW w:type="dxa" w:w="2338"/>
                </w:tcPr>
                <w:p w14:paraId="1700000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2427"/>
                </w:tcPr>
                <w:p w14:paraId="1800000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2459"/>
                </w:tcPr>
                <w:p w14:paraId="1900000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2459"/>
                </w:tcPr>
                <w:p w14:paraId="1A00000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2427"/>
                </w:tcPr>
                <w:p w14:paraId="1B00000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  <w:tc>
                <w:tcPr>
                  <w:tcW w:type="dxa" w:w="2450"/>
                </w:tcPr>
                <w:p w14:paraId="1C000000">
                  <w:pPr>
                    <w:rPr>
                      <w:rFonts w:ascii="Times New Roman" w:hAnsi="Times New Roman"/>
                      <w:sz w:val="24"/>
                    </w:rPr>
                  </w:pPr>
                </w:p>
              </w:tc>
            </w:tr>
          </w:tbl>
          <w:p w14:paraId="1D000000">
            <w:pPr>
              <w:pStyle w:val="Style_1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1E000000">
      <w:pPr>
        <w:pStyle w:val="Style_1"/>
        <w:ind/>
        <w:jc w:val="both"/>
        <w:rPr>
          <w:rFonts w:ascii="Times New Roman" w:hAnsi="Times New Roman"/>
          <w:sz w:val="28"/>
        </w:rPr>
      </w:pPr>
    </w:p>
    <w:p w14:paraId="1F000000">
      <w:pPr>
        <w:pStyle w:val="Style_1"/>
        <w:ind/>
        <w:jc w:val="both"/>
        <w:rPr>
          <w:rFonts w:ascii="Times New Roman" w:hAnsi="Times New Roman"/>
          <w:sz w:val="28"/>
        </w:rPr>
      </w:pPr>
      <w:bookmarkStart w:id="1" w:name="P313"/>
      <w:bookmarkEnd w:id="1"/>
      <w:r>
        <w:rPr>
          <w:rFonts w:ascii="Times New Roman" w:hAnsi="Times New Roman"/>
          <w:sz w:val="28"/>
        </w:rPr>
        <w:t xml:space="preserve">Начальник управления ЖКХ и ТЭК </w:t>
      </w:r>
    </w:p>
    <w:p w14:paraId="20000000">
      <w:pPr>
        <w:widowControl w:val="0"/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Туапсинского </w:t>
      </w:r>
    </w:p>
    <w:p w14:paraId="21000000">
      <w:pPr>
        <w:pStyle w:val="Style_1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округа  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Д.В. Дацишин</w:t>
      </w:r>
    </w:p>
    <w:sectPr>
      <w:pgSz w:h="11906" w:orient="landscape" w:w="16838"/>
      <w:pgMar w:bottom="1134" w:footer="709" w:gutter="0" w:header="709" w:left="1134" w:right="1134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rFonts w:ascii="Calibri" w:hAnsi="Calibri"/>
    </w:rPr>
  </w:style>
  <w:style w:default="1" w:styleId="Style_3_ch" w:type="character">
    <w:name w:val="Normal"/>
    <w:link w:val="Style_3"/>
    <w:rPr>
      <w:rFonts w:ascii="Calibri" w:hAnsi="Calibri"/>
    </w:rPr>
  </w:style>
  <w:style w:styleId="Style_4" w:type="paragraph">
    <w:name w:val="toc 2"/>
    <w:next w:val="Style_3"/>
    <w:link w:val="Style_4_ch"/>
    <w:uiPriority w:val="39"/>
    <w:pPr>
      <w:ind w:firstLine="0"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Гиперссылка1"/>
    <w:link w:val="Style_8_ch"/>
    <w:rPr>
      <w:color w:val="0000FF"/>
      <w:u w:val="single"/>
    </w:rPr>
  </w:style>
  <w:style w:styleId="Style_8_ch" w:type="character">
    <w:name w:val="Гиперссылка1"/>
    <w:link w:val="Style_8"/>
    <w:rPr>
      <w:color w:val="0000FF"/>
      <w:u w:val="single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Calibri" w:hAnsi="Calibri"/>
    </w:rPr>
  </w:style>
  <w:style w:styleId="Style_1_ch" w:type="character">
    <w:name w:val="ConsPlusNormal"/>
    <w:link w:val="Style_1"/>
    <w:rPr>
      <w:rFonts w:ascii="Calibri" w:hAnsi="Calibri"/>
    </w:rPr>
  </w:style>
  <w:style w:styleId="Style_10" w:type="paragraph">
    <w:name w:val="toc 3"/>
    <w:next w:val="Style_3"/>
    <w:link w:val="Style_10_ch"/>
    <w:uiPriority w:val="39"/>
    <w:pPr>
      <w:ind w:firstLine="0" w:left="400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Обычный1"/>
    <w:link w:val="Style_11_ch"/>
    <w:rPr>
      <w:rFonts w:ascii="Calibri" w:hAnsi="Calibri"/>
    </w:rPr>
  </w:style>
  <w:style w:styleId="Style_11_ch" w:type="character">
    <w:name w:val="Обычный1"/>
    <w:link w:val="Style_11"/>
    <w:rPr>
      <w:rFonts w:ascii="Calibri" w:hAnsi="Calibri"/>
    </w:rPr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2_ch" w:type="character">
    <w:name w:val="heading 5"/>
    <w:link w:val="Style_12"/>
    <w:rPr>
      <w:rFonts w:ascii="XO Thames" w:hAnsi="XO Thames"/>
      <w:b w:val="1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</w:rPr>
  </w:style>
  <w:style w:styleId="Style_15_ch" w:type="character">
    <w:name w:val="Footnote"/>
    <w:link w:val="Style_15"/>
    <w:rPr>
      <w:rFonts w:ascii="XO Thames" w:hAnsi="XO Thames"/>
    </w:rPr>
  </w:style>
  <w:style w:styleId="Style_16" w:type="paragraph">
    <w:name w:val="toc 1"/>
    <w:next w:val="Style_3"/>
    <w:link w:val="Style_16_ch"/>
    <w:uiPriority w:val="39"/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3"/>
    <w:link w:val="Style_18_ch"/>
    <w:uiPriority w:val="39"/>
    <w:pPr>
      <w:ind w:firstLine="0" w:left="1600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ConsPlusNonformat"/>
    <w:link w:val="Style_19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19_ch" w:type="character">
    <w:name w:val="ConsPlusNonformat"/>
    <w:link w:val="Style_19"/>
    <w:rPr>
      <w:rFonts w:ascii="Courier New" w:hAnsi="Courier New"/>
      <w:sz w:val="20"/>
    </w:rPr>
  </w:style>
  <w:style w:styleId="Style_20" w:type="paragraph">
    <w:name w:val="toc 8"/>
    <w:next w:val="Style_3"/>
    <w:link w:val="Style_20_ch"/>
    <w:uiPriority w:val="39"/>
    <w:pPr>
      <w:ind w:firstLine="0" w:left="1400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3"/>
    <w:link w:val="Style_21_ch"/>
    <w:uiPriority w:val="39"/>
    <w:pPr>
      <w:ind w:firstLine="0" w:left="800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Balloon Text"/>
    <w:basedOn w:val="Style_3"/>
    <w:link w:val="Style_22_ch"/>
    <w:pPr>
      <w:spacing w:after="0" w:line="240" w:lineRule="auto"/>
      <w:ind/>
    </w:pPr>
    <w:rPr>
      <w:rFonts w:ascii="Segoe UI" w:hAnsi="Segoe UI"/>
      <w:sz w:val="18"/>
    </w:rPr>
  </w:style>
  <w:style w:styleId="Style_22_ch" w:type="character">
    <w:name w:val="Balloon Text"/>
    <w:basedOn w:val="Style_3_ch"/>
    <w:link w:val="Style_22"/>
    <w:rPr>
      <w:rFonts w:ascii="Segoe UI" w:hAnsi="Segoe UI"/>
      <w:sz w:val="18"/>
    </w:rPr>
  </w:style>
  <w:style w:styleId="Style_23" w:type="paragraph">
    <w:name w:val="Subtitle"/>
    <w:next w:val="Style_3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Основной шрифт абзаца1"/>
    <w:link w:val="Style_24_ch"/>
  </w:style>
  <w:style w:styleId="Style_24_ch" w:type="character">
    <w:name w:val="Основной шрифт абзаца1"/>
    <w:link w:val="Style_24"/>
  </w:style>
  <w:style w:styleId="Style_25" w:type="paragraph">
    <w:name w:val="Title"/>
    <w:next w:val="Style_3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3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Заголовок 3 Знак"/>
    <w:link w:val="Style_27_ch"/>
    <w:rPr>
      <w:rFonts w:ascii="XO Thames" w:hAnsi="XO Thames"/>
      <w:b w:val="1"/>
      <w:sz w:val="26"/>
    </w:rPr>
  </w:style>
  <w:style w:styleId="Style_27_ch" w:type="character">
    <w:name w:val="Заголовок 3 Знак"/>
    <w:link w:val="Style_27"/>
    <w:rPr>
      <w:rFonts w:ascii="XO Thames" w:hAnsi="XO Thames"/>
      <w:b w:val="1"/>
      <w:sz w:val="26"/>
    </w:rPr>
  </w:style>
  <w:style w:styleId="Style_28" w:type="paragraph">
    <w:name w:val="heading 2"/>
    <w:next w:val="Style_3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Default Paragraph Font"/>
    <w:link w:val="Style_29_ch"/>
  </w:style>
  <w:style w:styleId="Style_29_ch" w:type="character">
    <w:name w:val="Default Paragraph Font"/>
    <w:link w:val="Style_29"/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30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2025-04-08T14:27:11Z</dcterms:modified>
</cp:coreProperties>
</file>